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microct-ana-unibe-ch/microvasculature-manuscript@a17f61e</w:t>
        </w:r>
      </w:hyperlink>
      <w:r>
        <w:t xml:space="preserve"> </w:t>
      </w:r>
      <w:r>
        <w:t xml:space="preserve">on June 21,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21</w:t>
        </w:r>
      </w:hyperlink>
      <w:r>
        <w:t xml:space="preserve">,</w:t>
      </w:r>
      <w:hyperlink w:anchor="ref-rCXuqa0O">
        <w:r>
          <w:rPr>
            <w:rStyle w:val="Hyperlink"/>
          </w:rPr>
          <w:t xml:space="preserve">22</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21</w:t>
        </w:r>
      </w:hyperlink>
      <w:r>
        <w:t xml:space="preserve">,</w:t>
      </w:r>
      <w:hyperlink w:anchor="ref-137VU0bph">
        <w:r>
          <w:rPr>
            <w:rStyle w:val="Hyperlink"/>
          </w:rPr>
          <w:t xml:space="preserve">24</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21</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25</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26</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27</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28</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harvesting, the samples were fixed by immersion in 4% paraformaldehyde (PFA) solution and then imaged using a SKYSCAN 1172 (Bruker microCT, Kontich, Belgium).</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enabled a simultaneous display of bone, its vascularization, and their segmentation.</w:t>
      </w:r>
      <w:r>
        <w:t xml:space="preserve"> </w:t>
      </w:r>
      <w:r>
        <w:t xml:space="preserve">As presented in our other study, we were able to quantitatively show that the age-related osteoporosis diminishes with improved vascularization</w:t>
      </w:r>
      <w:r>
        <w:t xml:space="preserve"> </w:t>
      </w:r>
      <w:r>
        <w:t xml:space="preserve">[</w:t>
      </w:r>
      <w:hyperlink w:anchor="ref-nC0ZZVgL">
        <w:r>
          <w:rPr>
            <w:rStyle w:val="Hyperlink"/>
          </w:rPr>
          <w:t xml:space="preserve">28</w:t>
        </w:r>
      </w:hyperlink>
      <w:r>
        <w:t xml:space="preserve">]</w:t>
      </w:r>
      <w:r>
        <w:t xml:space="preserv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It is practically the standard in the field to decalcify the bone samples to enable the proper visualization and segmentation of vasculature within bone tissue</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ethylenediaminetetraacetic acid (EDTA) solution</w:t>
      </w:r>
      <w:r>
        <w:t xml:space="preserve"> </w:t>
      </w:r>
      <w:r>
        <w:t xml:space="preserve">[</w:t>
      </w:r>
      <w:hyperlink w:anchor="ref-iM9i6gkJ">
        <w:r>
          <w:rPr>
            <w:rStyle w:val="Hyperlink"/>
          </w:rPr>
          <w:t xml:space="preserve">32</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r>
        <w:t xml:space="preserve"> </w:t>
      </w:r>
      <w:r>
        <w:t xml:space="preserve">Decalcification of bone tissue does not negatively influence the bone structure itself, but reduces the X-ray absorption of bone tissue and thus makes it impossible to visualize simultaneously with the vasculature (Fig.</w:t>
      </w:r>
      <w:r>
        <w:t xml:space="preserve"> </w:t>
      </w:r>
      <w:hyperlink w:anchor="fig:2">
        <w:r>
          <w:rPr>
            <w:rStyle w:val="Hyperlink"/>
          </w:rPr>
          <w:t xml:space="preserve">2</w:t>
        </w:r>
      </w:hyperlink>
      <w:r>
        <w:t xml:space="preserve">).</w:t>
      </w:r>
    </w:p>
    <w:p>
      <w:pPr>
        <w:pStyle w:val="BodyText"/>
      </w:pPr>
      <w:r>
        <w:t xml:space="preserve">On the other hand, it enables tomographic imaging of the murine hind limb vasculature with less artifacts around the bone at lower acceleration voltages, which in most instances leads to shorter scanning times.</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p>
      <w:pPr>
        <w:pStyle w:val="BodyText"/>
      </w:pPr>
      <w:r>
        <w:t xml:space="preserve">Furthermore, segmentation of the vasculature in the tomographic datasets becomes easier and a subsequent histological evaluation of the sample is facilitated</w:t>
      </w:r>
      <w:r>
        <w:t xml:space="preserve"> </w:t>
      </w:r>
      <w:r>
        <w:t xml:space="preserve">[</w:t>
      </w:r>
      <w:hyperlink w:anchor="ref-iM9i6gkJ">
        <w:r>
          <w:rPr>
            <w:rStyle w:val="Hyperlink"/>
          </w:rPr>
          <w:t xml:space="preserve">32</w:t>
        </w:r>
      </w:hyperlink>
      <w:r>
        <w:t xml:space="preserve">]</w:t>
      </w:r>
      <w:r>
        <w:t xml:space="preserve">.</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Assessment and 3D imaging of tumor vasculature is a challenging task, in almost every tumor model</w:t>
      </w:r>
      <w:r>
        <w:t xml:space="preserve"> </w:t>
      </w:r>
      <w:r>
        <w:t xml:space="preserve">[</w:t>
      </w:r>
      <w:hyperlink w:anchor="ref-cNoYNu8B">
        <w:r>
          <w:rPr>
            <w:rStyle w:val="Hyperlink"/>
          </w:rPr>
          <w:t xml:space="preserve">33</w:t>
        </w:r>
      </w:hyperlink>
      <w:r>
        <w:t xml:space="preserve">]</w:t>
      </w:r>
      <w:r>
        <w:t xml:space="preserve">.</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crucial.</w:t>
      </w:r>
      <w:r>
        <w:t xml:space="preserve"> </w:t>
      </w:r>
      <w:r>
        <w:t xml:space="preserve">The desire to simultaneously assess existing bone defects makes the aforementioned decalcification procedure highly unfavorable.</w:t>
      </w:r>
    </w:p>
    <w:p>
      <w:pPr>
        <w:pStyle w:val="BodyText"/>
      </w:pPr>
      <w:r>
        <w:t xml:space="preserve">To verify the suitability of our microangioCT approach for this kind of experimental imaging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p>
    <w:p>
      <w:pPr>
        <w:pStyle w:val="BodyText"/>
      </w:pP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(~30 min), the mandible was excised and fixated in 4% PFA solution.</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r>
        <w:t xml:space="preserve"> </w:t>
      </w: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21</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r>
        <w:t xml:space="preserve"> </w:t>
      </w:r>
      <w:r>
        <w:t xml:space="preserve">Unfortunately, the microCT-based distinction of the vessels from other soft tissue structures is not possible without intravascular casting or instillation of contrast agents.</w:t>
      </w:r>
      <w:r>
        <w:t xml:space="preserve"> </w:t>
      </w:r>
      <w:r>
        <w:t xml:space="preserve">Our hereby presented method of imaging the microvasculature within bones based on instillation with µAngiofil overcomes several drawbacks of previously described methods (for details,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r>
        <w:t xml:space="preserve"> </w:t>
      </w: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32</w:t>
        </w:r>
      </w:hyperlink>
      <w:r>
        <w:t xml:space="preserve">]</w:t>
      </w:r>
      <w:r>
        <w:t xml:space="preserve">.</w:t>
      </w:r>
      <w:r>
        <w:t xml:space="preserve"> </w:t>
      </w:r>
      <w:r>
        <w:t xml:space="preserve">Distinct differences in the X-ray attenuation of µAngiofil and the bone tissue allow for assessing vascularization and bone growth without the need for repeated tomographic scans (before and after decalcification) and subsequent registration.</w:t>
      </w:r>
      <w:r>
        <w:t xml:space="preserve"> </w:t>
      </w:r>
      <w:r>
        <w:t xml:space="preserve">This saves machine and labor time and does not damage the sample composition.</w:t>
      </w:r>
    </w:p>
    <w:p>
      <w:pPr>
        <w:pStyle w:val="BodyText"/>
      </w:pPr>
      <w:r>
        <w:t xml:space="preserve">The microangioCT approach we present here can be used for simultaneous visualization of the hard (and eventually soft) tissues and their vascularization in small and large animal models.</w:t>
      </w:r>
      <w:r>
        <w:t xml:space="preserve"> </w:t>
      </w: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21</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21</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The most significant limitation of the suggested approach is the general limitation of microCT imaging, namely, the correlation between the resolution and the sample size.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29</w:t>
        </w:r>
      </w:hyperlink>
      <w:r>
        <w:t xml:space="preserve">,</w:t>
      </w:r>
      <w:hyperlink w:anchor="ref-ijqzbOI6">
        <w:r>
          <w:rPr>
            <w:rStyle w:val="Hyperlink"/>
          </w:rPr>
          <w:t xml:space="preserve">30</w:t>
        </w:r>
      </w:hyperlink>
      <w:r>
        <w:t xml:space="preserve">,</w:t>
      </w:r>
      <w:hyperlink w:anchor="ref-TYAmre95">
        <w:r>
          <w:rPr>
            <w:rStyle w:val="Hyperlink"/>
          </w:rPr>
          <w:t xml:space="preserve">31</w:t>
        </w:r>
      </w:hyperlink>
      <w:r>
        <w:t xml:space="preserve">,</w:t>
      </w:r>
      <w:hyperlink w:anchor="ref-iM9i6gkJ">
        <w:r>
          <w:rPr>
            <w:rStyle w:val="Hyperlink"/>
          </w:rPr>
          <w:t xml:space="preserve">32</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Nonetheless, the presented approach is, according to our knowledge, the best what can be achieved with the modern microCT scanners and is a big step forward for qualitative and quantitative imaging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4" w:name="ref-11349lK8v"/>
    <w:p>
      <w:pPr>
        <w:pStyle w:val="Bibliography"/>
      </w:pPr>
      <w:r>
        <w:t xml:space="preserve">21.</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0">
        <w:r>
          <w:rPr>
            <w:rStyle w:val="Hyperlink"/>
          </w:rPr>
          <w:t xml:space="preserve">https://doi.org/gr7376</w:t>
        </w:r>
      </w:hyperlink>
      <w:r>
        <w:t xml:space="preserve"> </w:t>
      </w:r>
      <w:r>
        <w:t xml:space="preserve">DOI:</w:t>
      </w:r>
      <w:r>
        <w:t xml:space="preserve"> </w:t>
      </w:r>
      <w:hyperlink r:id="rId231">
        <w:r>
          <w:rPr>
            <w:rStyle w:val="Hyperlink"/>
          </w:rPr>
          <w:t xml:space="preserve">10.1111/cpr.12578</w:t>
        </w:r>
      </w:hyperlink>
      <w:r>
        <w:t xml:space="preserve"> </w:t>
      </w:r>
      <w:r>
        <w:t xml:space="preserve">· PMID:</w:t>
      </w:r>
      <w:r>
        <w:t xml:space="preserve"> </w:t>
      </w:r>
      <w:hyperlink r:id="rId232">
        <w:r>
          <w:rPr>
            <w:rStyle w:val="Hyperlink"/>
          </w:rPr>
          <w:t xml:space="preserve">30714253</w:t>
        </w:r>
      </w:hyperlink>
      <w:r>
        <w:t xml:space="preserve"> </w:t>
      </w:r>
      <w:r>
        <w:t xml:space="preserve">· PMCID:</w:t>
      </w:r>
      <w:r>
        <w:t xml:space="preserve"> </w:t>
      </w:r>
      <w:hyperlink r:id="rId233">
        <w:r>
          <w:rPr>
            <w:rStyle w:val="Hyperlink"/>
          </w:rPr>
          <w:t xml:space="preserve">PMC6536405</w:t>
        </w:r>
      </w:hyperlink>
    </w:p>
    <w:bookmarkEnd w:id="234"/>
    <w:bookmarkStart w:id="239" w:name="ref-rCXuqa0O"/>
    <w:p>
      <w:pPr>
        <w:pStyle w:val="Bibliography"/>
      </w:pPr>
      <w:r>
        <w:t xml:space="preserve">22.</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5">
        <w:r>
          <w:rPr>
            <w:rStyle w:val="Hyperlink"/>
          </w:rPr>
          <w:t xml:space="preserve">https://doi.org/f8cm8j</w:t>
        </w:r>
      </w:hyperlink>
      <w:r>
        <w:t xml:space="preserve"> </w:t>
      </w:r>
      <w:r>
        <w:t xml:space="preserve">DOI:</w:t>
      </w:r>
      <w:r>
        <w:t xml:space="preserve"> </w:t>
      </w:r>
      <w:hyperlink r:id="rId236">
        <w:r>
          <w:rPr>
            <w:rStyle w:val="Hyperlink"/>
          </w:rPr>
          <w:t xml:space="preserve">10.1016/j.biomaterials.2016.01.016</w:t>
        </w:r>
      </w:hyperlink>
      <w:r>
        <w:t xml:space="preserve"> </w:t>
      </w:r>
      <w:r>
        <w:t xml:space="preserve">· PMID:</w:t>
      </w:r>
      <w:r>
        <w:t xml:space="preserve"> </w:t>
      </w:r>
      <w:hyperlink r:id="rId237">
        <w:r>
          <w:rPr>
            <w:rStyle w:val="Hyperlink"/>
          </w:rPr>
          <w:t xml:space="preserve">26851394</w:t>
        </w:r>
      </w:hyperlink>
      <w:r>
        <w:t xml:space="preserve"> </w:t>
      </w:r>
      <w:r>
        <w:t xml:space="preserve">· PMCID:</w:t>
      </w:r>
      <w:r>
        <w:t xml:space="preserve"> </w:t>
      </w:r>
      <w:hyperlink r:id="rId238">
        <w:r>
          <w:rPr>
            <w:rStyle w:val="Hyperlink"/>
          </w:rPr>
          <w:t xml:space="preserve">PMC4883578</w:t>
        </w:r>
      </w:hyperlink>
    </w:p>
    <w:bookmarkEnd w:id="239"/>
    <w:bookmarkStart w:id="240" w:name="ref-X5Wzek9s"/>
    <w:p>
      <w:pPr>
        <w:pStyle w:val="Bibliography"/>
      </w:pPr>
      <w:r>
        <w:t xml:space="preserve">23.</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0"/>
    <w:bookmarkStart w:id="244" w:name="ref-137VU0bph"/>
    <w:p>
      <w:pPr>
        <w:pStyle w:val="Bibliography"/>
      </w:pPr>
      <w:r>
        <w:t xml:space="preserve">24.</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1">
        <w:r>
          <w:rPr>
            <w:rStyle w:val="Hyperlink"/>
          </w:rPr>
          <w:t xml:space="preserve">https://doi.org/gm7sqx</w:t>
        </w:r>
      </w:hyperlink>
      <w:r>
        <w:t xml:space="preserve"> </w:t>
      </w:r>
      <w:r>
        <w:t xml:space="preserve">DOI:</w:t>
      </w:r>
      <w:r>
        <w:t xml:space="preserve"> </w:t>
      </w:r>
      <w:hyperlink r:id="rId242">
        <w:r>
          <w:rPr>
            <w:rStyle w:val="Hyperlink"/>
          </w:rPr>
          <w:t xml:space="preserve">10.1016/j.actbio.2018.06.023</w:t>
        </w:r>
      </w:hyperlink>
      <w:r>
        <w:t xml:space="preserve"> </w:t>
      </w:r>
      <w:r>
        <w:t xml:space="preserve">· PMID:</w:t>
      </w:r>
      <w:r>
        <w:t xml:space="preserve"> </w:t>
      </w:r>
      <w:hyperlink r:id="rId243">
        <w:r>
          <w:rPr>
            <w:rStyle w:val="Hyperlink"/>
          </w:rPr>
          <w:t xml:space="preserve">29908975</w:t>
        </w:r>
      </w:hyperlink>
    </w:p>
    <w:bookmarkEnd w:id="244"/>
    <w:bookmarkStart w:id="248" w:name="ref-5CxAuEpv"/>
    <w:p>
      <w:pPr>
        <w:pStyle w:val="Bibliography"/>
      </w:pPr>
      <w:r>
        <w:t xml:space="preserve">25.</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5">
        <w:r>
          <w:rPr>
            <w:rStyle w:val="Hyperlink"/>
          </w:rPr>
          <w:t xml:space="preserve">https://doi.org/f7kf9t</w:t>
        </w:r>
      </w:hyperlink>
      <w:r>
        <w:t xml:space="preserve"> </w:t>
      </w:r>
      <w:r>
        <w:t xml:space="preserve">DOI:</w:t>
      </w:r>
      <w:r>
        <w:t xml:space="preserve"> </w:t>
      </w:r>
      <w:hyperlink r:id="rId246">
        <w:r>
          <w:rPr>
            <w:rStyle w:val="Hyperlink"/>
          </w:rPr>
          <w:t xml:space="preserve">10.1111/jcpe.12424</w:t>
        </w:r>
      </w:hyperlink>
      <w:r>
        <w:t xml:space="preserve"> </w:t>
      </w:r>
      <w:r>
        <w:t xml:space="preserve">· PMID:</w:t>
      </w:r>
      <w:r>
        <w:t xml:space="preserve"> </w:t>
      </w:r>
      <w:hyperlink r:id="rId247">
        <w:r>
          <w:rPr>
            <w:rStyle w:val="Hyperlink"/>
          </w:rPr>
          <w:t xml:space="preserve">26073407</w:t>
        </w:r>
      </w:hyperlink>
    </w:p>
    <w:bookmarkEnd w:id="248"/>
    <w:bookmarkStart w:id="252" w:name="ref-uAjlWLJe"/>
    <w:p>
      <w:pPr>
        <w:pStyle w:val="Bibliography"/>
      </w:pPr>
      <w:r>
        <w:t xml:space="preserve">26.</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49">
        <w:r>
          <w:rPr>
            <w:rStyle w:val="Hyperlink"/>
          </w:rPr>
          <w:t xml:space="preserve">https://doi.org/gr897c</w:t>
        </w:r>
      </w:hyperlink>
      <w:r>
        <w:t xml:space="preserve"> </w:t>
      </w:r>
      <w:r>
        <w:t xml:space="preserve">DOI:</w:t>
      </w:r>
      <w:r>
        <w:t xml:space="preserve"> </w:t>
      </w:r>
      <w:hyperlink r:id="rId250">
        <w:r>
          <w:rPr>
            <w:rStyle w:val="Hyperlink"/>
          </w:rPr>
          <w:t xml:space="preserve">10.1016/j.cellsig.2020.109873</w:t>
        </w:r>
      </w:hyperlink>
      <w:r>
        <w:t xml:space="preserve"> </w:t>
      </w:r>
      <w:r>
        <w:t xml:space="preserve">· PMID:</w:t>
      </w:r>
      <w:r>
        <w:t xml:space="preserve"> </w:t>
      </w:r>
      <w:hyperlink r:id="rId251">
        <w:r>
          <w:rPr>
            <w:rStyle w:val="Hyperlink"/>
          </w:rPr>
          <w:t xml:space="preserve">33285241</w:t>
        </w:r>
      </w:hyperlink>
    </w:p>
    <w:bookmarkEnd w:id="252"/>
    <w:bookmarkStart w:id="257" w:name="ref-jhdsbJV3"/>
    <w:p>
      <w:pPr>
        <w:pStyle w:val="Bibliography"/>
      </w:pPr>
      <w:r>
        <w:t xml:space="preserve">27.</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3">
        <w:r>
          <w:rPr>
            <w:rStyle w:val="Hyperlink"/>
          </w:rPr>
          <w:t xml:space="preserve">https://doi.org/gr897d</w:t>
        </w:r>
      </w:hyperlink>
      <w:r>
        <w:t xml:space="preserve"> </w:t>
      </w:r>
      <w:r>
        <w:t xml:space="preserve">DOI:</w:t>
      </w:r>
      <w:r>
        <w:t xml:space="preserve"> </w:t>
      </w:r>
      <w:hyperlink r:id="rId254">
        <w:r>
          <w:rPr>
            <w:rStyle w:val="Hyperlink"/>
          </w:rPr>
          <w:t xml:space="preserve">10.1038/s41592-021-01363-5</w:t>
        </w:r>
      </w:hyperlink>
      <w:r>
        <w:t xml:space="preserve"> </w:t>
      </w:r>
      <w:r>
        <w:t xml:space="preserve">· PMID:</w:t>
      </w:r>
      <w:r>
        <w:t xml:space="preserve"> </w:t>
      </w:r>
      <w:hyperlink r:id="rId255">
        <w:r>
          <w:rPr>
            <w:rStyle w:val="Hyperlink"/>
          </w:rPr>
          <w:t xml:space="preserve">35145319</w:t>
        </w:r>
      </w:hyperlink>
      <w:r>
        <w:t xml:space="preserve"> </w:t>
      </w:r>
      <w:r>
        <w:t xml:space="preserve">· PMCID:</w:t>
      </w:r>
      <w:r>
        <w:t xml:space="preserve"> </w:t>
      </w:r>
      <w:hyperlink r:id="rId256">
        <w:r>
          <w:rPr>
            <w:rStyle w:val="Hyperlink"/>
          </w:rPr>
          <w:t xml:space="preserve">PMC8842955</w:t>
        </w:r>
      </w:hyperlink>
    </w:p>
    <w:bookmarkEnd w:id="257"/>
    <w:bookmarkStart w:id="261" w:name="ref-nC0ZZVgL"/>
    <w:p>
      <w:pPr>
        <w:pStyle w:val="Bibliography"/>
      </w:pPr>
      <w:r>
        <w:t xml:space="preserve">28.</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58">
        <w:r>
          <w:rPr>
            <w:rStyle w:val="Hyperlink"/>
          </w:rPr>
          <w:t xml:space="preserve">https://doi.org/gmc94x</w:t>
        </w:r>
      </w:hyperlink>
      <w:r>
        <w:t xml:space="preserve"> </w:t>
      </w:r>
      <w:r>
        <w:t xml:space="preserve">DOI:</w:t>
      </w:r>
      <w:r>
        <w:t xml:space="preserve"> </w:t>
      </w:r>
      <w:hyperlink r:id="rId259">
        <w:r>
          <w:rPr>
            <w:rStyle w:val="Hyperlink"/>
          </w:rPr>
          <w:t xml:space="preserve">10.1126/science.abc8479</w:t>
        </w:r>
      </w:hyperlink>
      <w:r>
        <w:t xml:space="preserve"> </w:t>
      </w:r>
      <w:r>
        <w:t xml:space="preserve">· PMID:</w:t>
      </w:r>
      <w:r>
        <w:t xml:space="preserve"> </w:t>
      </w:r>
      <w:hyperlink r:id="rId260">
        <w:r>
          <w:rPr>
            <w:rStyle w:val="Hyperlink"/>
          </w:rPr>
          <w:t xml:space="preserve">34326210</w:t>
        </w:r>
      </w:hyperlink>
    </w:p>
    <w:bookmarkEnd w:id="261"/>
    <w:bookmarkStart w:id="266" w:name="ref-s9aC9H1e"/>
    <w:p>
      <w:pPr>
        <w:pStyle w:val="Bibliography"/>
      </w:pPr>
      <w:r>
        <w:t xml:space="preserve">29.</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2">
        <w:r>
          <w:rPr>
            <w:rStyle w:val="Hyperlink"/>
          </w:rPr>
          <w:t xml:space="preserve">https://doi.org/gr737t</w:t>
        </w:r>
      </w:hyperlink>
      <w:r>
        <w:t xml:space="preserve"> </w:t>
      </w:r>
      <w:r>
        <w:t xml:space="preserve">DOI:</w:t>
      </w:r>
      <w:r>
        <w:t xml:space="preserve"> </w:t>
      </w:r>
      <w:hyperlink r:id="rId263">
        <w:r>
          <w:rPr>
            <w:rStyle w:val="Hyperlink"/>
          </w:rPr>
          <w:t xml:space="preserve">10.1007/s00429-020-02158-8</w:t>
        </w:r>
      </w:hyperlink>
      <w:r>
        <w:t xml:space="preserve"> </w:t>
      </w:r>
      <w:r>
        <w:t xml:space="preserve">· PMID:</w:t>
      </w:r>
      <w:r>
        <w:t xml:space="preserve"> </w:t>
      </w:r>
      <w:hyperlink r:id="rId264">
        <w:r>
          <w:rPr>
            <w:rStyle w:val="Hyperlink"/>
          </w:rPr>
          <w:t xml:space="preserve">33128675</w:t>
        </w:r>
      </w:hyperlink>
      <w:r>
        <w:t xml:space="preserve"> </w:t>
      </w:r>
      <w:r>
        <w:t xml:space="preserve">· PMCID:</w:t>
      </w:r>
      <w:r>
        <w:t xml:space="preserve"> </w:t>
      </w:r>
      <w:hyperlink r:id="rId265">
        <w:r>
          <w:rPr>
            <w:rStyle w:val="Hyperlink"/>
          </w:rPr>
          <w:t xml:space="preserve">PMC7674347</w:t>
        </w:r>
      </w:hyperlink>
    </w:p>
    <w:bookmarkEnd w:id="266"/>
    <w:bookmarkStart w:id="270" w:name="ref-ijqzbOI6"/>
    <w:p>
      <w:pPr>
        <w:pStyle w:val="Bibliography"/>
      </w:pPr>
      <w:r>
        <w:t xml:space="preserve">30.</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67">
        <w:r>
          <w:rPr>
            <w:rStyle w:val="Hyperlink"/>
          </w:rPr>
          <w:t xml:space="preserve">https://doi.org/gdbw3b</w:t>
        </w:r>
      </w:hyperlink>
      <w:r>
        <w:t xml:space="preserve"> </w:t>
      </w:r>
      <w:r>
        <w:t xml:space="preserve">DOI:</w:t>
      </w:r>
      <w:r>
        <w:t xml:space="preserve"> </w:t>
      </w:r>
      <w:hyperlink r:id="rId268">
        <w:r>
          <w:rPr>
            <w:rStyle w:val="Hyperlink"/>
          </w:rPr>
          <w:t xml:space="preserve">10.1152/ajprenal.00099.2017</w:t>
        </w:r>
      </w:hyperlink>
      <w:r>
        <w:t xml:space="preserve"> </w:t>
      </w:r>
      <w:r>
        <w:t xml:space="preserve">· PMID:</w:t>
      </w:r>
      <w:r>
        <w:t xml:space="preserve"> </w:t>
      </w:r>
      <w:hyperlink r:id="rId269">
        <w:r>
          <w:rPr>
            <w:rStyle w:val="Hyperlink"/>
          </w:rPr>
          <w:t xml:space="preserve">29167169</w:t>
        </w:r>
      </w:hyperlink>
    </w:p>
    <w:bookmarkEnd w:id="270"/>
    <w:bookmarkStart w:id="274" w:name="ref-TYAmre95"/>
    <w:p>
      <w:pPr>
        <w:pStyle w:val="Bibliography"/>
      </w:pPr>
      <w:r>
        <w:t xml:space="preserve">31.</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1">
        <w:r>
          <w:rPr>
            <w:rStyle w:val="Hyperlink"/>
          </w:rPr>
          <w:t xml:space="preserve">https://doi.org/ghgd4s</w:t>
        </w:r>
      </w:hyperlink>
      <w:r>
        <w:t xml:space="preserve"> </w:t>
      </w:r>
      <w:r>
        <w:t xml:space="preserve">DOI:</w:t>
      </w:r>
      <w:r>
        <w:t xml:space="preserve"> </w:t>
      </w:r>
      <w:hyperlink r:id="rId272">
        <w:r>
          <w:rPr>
            <w:rStyle w:val="Hyperlink"/>
          </w:rPr>
          <w:t xml:space="preserve">10.1016/j.vph.2018.09.003</w:t>
        </w:r>
      </w:hyperlink>
      <w:r>
        <w:t xml:space="preserve"> </w:t>
      </w:r>
      <w:r>
        <w:t xml:space="preserve">· PMID:</w:t>
      </w:r>
      <w:r>
        <w:t xml:space="preserve"> </w:t>
      </w:r>
      <w:hyperlink r:id="rId273">
        <w:r>
          <w:rPr>
            <w:rStyle w:val="Hyperlink"/>
          </w:rPr>
          <w:t xml:space="preserve">30248380</w:t>
        </w:r>
      </w:hyperlink>
    </w:p>
    <w:bookmarkEnd w:id="274"/>
    <w:bookmarkStart w:id="279" w:name="ref-iM9i6gkJ"/>
    <w:p>
      <w:pPr>
        <w:pStyle w:val="Bibliography"/>
      </w:pPr>
      <w:r>
        <w:t xml:space="preserve">32.</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5">
        <w:r>
          <w:rPr>
            <w:rStyle w:val="Hyperlink"/>
          </w:rPr>
          <w:t xml:space="preserve">https://doi.org/f9p4pn</w:t>
        </w:r>
      </w:hyperlink>
      <w:r>
        <w:t xml:space="preserve"> </w:t>
      </w:r>
      <w:r>
        <w:t xml:space="preserve">DOI:</w:t>
      </w:r>
      <w:r>
        <w:t xml:space="preserve"> </w:t>
      </w:r>
      <w:hyperlink r:id="rId276">
        <w:r>
          <w:rPr>
            <w:rStyle w:val="Hyperlink"/>
          </w:rPr>
          <w:t xml:space="preserve">10.1038/srep41842</w:t>
        </w:r>
      </w:hyperlink>
      <w:r>
        <w:t xml:space="preserve"> </w:t>
      </w:r>
      <w:r>
        <w:t xml:space="preserve">· PMID:</w:t>
      </w:r>
      <w:r>
        <w:t xml:space="preserve"> </w:t>
      </w:r>
      <w:hyperlink r:id="rId277">
        <w:r>
          <w:rPr>
            <w:rStyle w:val="Hyperlink"/>
          </w:rPr>
          <w:t xml:space="preserve">28169309</w:t>
        </w:r>
      </w:hyperlink>
      <w:r>
        <w:t xml:space="preserve"> </w:t>
      </w:r>
      <w:r>
        <w:t xml:space="preserve">· PMCID:</w:t>
      </w:r>
      <w:r>
        <w:t xml:space="preserve"> </w:t>
      </w:r>
      <w:hyperlink r:id="rId278">
        <w:r>
          <w:rPr>
            <w:rStyle w:val="Hyperlink"/>
          </w:rPr>
          <w:t xml:space="preserve">PMC5294414</w:t>
        </w:r>
      </w:hyperlink>
    </w:p>
    <w:bookmarkEnd w:id="279"/>
    <w:bookmarkStart w:id="283" w:name="ref-cNoYNu8B"/>
    <w:p>
      <w:pPr>
        <w:pStyle w:val="Bibliography"/>
      </w:pPr>
      <w:r>
        <w:t xml:space="preserve">33.</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80">
        <w:r>
          <w:rPr>
            <w:rStyle w:val="Hyperlink"/>
          </w:rPr>
          <w:t xml:space="preserve">https://doi.org/gr737s</w:t>
        </w:r>
      </w:hyperlink>
      <w:r>
        <w:t xml:space="preserve"> </w:t>
      </w:r>
      <w:r>
        <w:t xml:space="preserve">DOI:</w:t>
      </w:r>
      <w:r>
        <w:t xml:space="preserve"> </w:t>
      </w:r>
      <w:hyperlink r:id="rId281">
        <w:r>
          <w:rPr>
            <w:rStyle w:val="Hyperlink"/>
          </w:rPr>
          <w:t xml:space="preserve">10.1007/978-1-4939-3999-2_2</w:t>
        </w:r>
      </w:hyperlink>
      <w:r>
        <w:t xml:space="preserve"> </w:t>
      </w:r>
      <w:r>
        <w:t xml:space="preserve">· PMID:</w:t>
      </w:r>
      <w:r>
        <w:t xml:space="preserve"> </w:t>
      </w:r>
      <w:hyperlink r:id="rId282">
        <w:r>
          <w:rPr>
            <w:rStyle w:val="Hyperlink"/>
          </w:rPr>
          <w:t xml:space="preserve">27858352</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a17f61e14db1fda43ada0e0e4982cf78a47cf69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a17f61e14db1fda43ada0e0e4982cf78a47cf694"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a17f61e14db1fda43ada0e0e4982cf78a47cf69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81" Target="https://doi.org/10.1007/978-1-4939-3999-2_2" TargetMode="External" /><Relationship Type="http://schemas.openxmlformats.org/officeDocument/2006/relationships/hyperlink" Id="rId263"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2"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36"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0"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2"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4"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76"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1"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46" Target="https://doi.org/10.1111/jcpe.12424" TargetMode="External" /><Relationship Type="http://schemas.openxmlformats.org/officeDocument/2006/relationships/hyperlink" Id="rId259"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68"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5" Target="https://doi.org/f7kf9t" TargetMode="External" /><Relationship Type="http://schemas.openxmlformats.org/officeDocument/2006/relationships/hyperlink" Id="rId235" Target="https://doi.org/f8cm8j" TargetMode="External" /><Relationship Type="http://schemas.openxmlformats.org/officeDocument/2006/relationships/hyperlink" Id="rId275"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67" Target="https://doi.org/gdbw3b" TargetMode="External" /><Relationship Type="http://schemas.openxmlformats.org/officeDocument/2006/relationships/hyperlink" Id="rId297" Target="https://doi.org/gf9rrt" TargetMode="External" /><Relationship Type="http://schemas.openxmlformats.org/officeDocument/2006/relationships/hyperlink" Id="rId271" Target="https://doi.org/ghgd4s" TargetMode="External" /><Relationship Type="http://schemas.openxmlformats.org/officeDocument/2006/relationships/hyperlink" Id="rId241" Target="https://doi.org/gm7sqx" TargetMode="External" /><Relationship Type="http://schemas.openxmlformats.org/officeDocument/2006/relationships/hyperlink" Id="rId258"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0"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80" Target="https://doi.org/gr737s" TargetMode="External" /><Relationship Type="http://schemas.openxmlformats.org/officeDocument/2006/relationships/hyperlink" Id="rId262"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49" Target="https://doi.org/gr897c" TargetMode="External" /><Relationship Type="http://schemas.openxmlformats.org/officeDocument/2006/relationships/hyperlink" Id="rId253"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a17f61e14db1fda43ada0e0e4982cf78a47cf694#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a17f61e14db1fda43ada0e0e4982cf78a47cf694"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a17f61e14db1fda43ada0e0e4982cf78a47cf69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38"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78"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3"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5"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56"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47"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37"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82" Target="https://www.ncbi.nlm.nih.gov/pubmed/27858352" TargetMode="External" /><Relationship Type="http://schemas.openxmlformats.org/officeDocument/2006/relationships/hyperlink" Id="rId277"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69" Target="https://www.ncbi.nlm.nih.gov/pubmed/29167169" TargetMode="External" /><Relationship Type="http://schemas.openxmlformats.org/officeDocument/2006/relationships/hyperlink" Id="rId243"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3" Target="https://www.ncbi.nlm.nih.gov/pubmed/30248380" TargetMode="External" /><Relationship Type="http://schemas.openxmlformats.org/officeDocument/2006/relationships/hyperlink" Id="rId232"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4" Target="https://www.ncbi.nlm.nih.gov/pubmed/33128675" TargetMode="External" /><Relationship Type="http://schemas.openxmlformats.org/officeDocument/2006/relationships/hyperlink" Id="rId251"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0"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5"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2023-06-21T15:27:40Z</dcterms:created>
  <dcterms:modified xsi:type="dcterms:W3CDTF">2023-06-21T15:27:40Z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